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3043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Мусаеву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0412365400325004322620140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